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21" w:rsidRDefault="00D95E21" w:rsidP="005C316E">
      <w:pPr>
        <w:shd w:val="clear" w:color="auto" w:fill="FFFFFF"/>
        <w:spacing w:after="150" w:line="240" w:lineRule="auto"/>
        <w:rPr>
          <w:rFonts w:ascii="Lora" w:eastAsia="Times New Roman" w:hAnsi="Lora" w:cs="Helvetica"/>
          <w:color w:val="000000"/>
          <w:sz w:val="21"/>
          <w:szCs w:val="21"/>
          <w:lang w:eastAsia="fr-FR"/>
        </w:rPr>
      </w:pPr>
      <w:r>
        <w:rPr>
          <w:rFonts w:cs="Helvetica"/>
          <w:sz w:val="53"/>
          <w:szCs w:val="53"/>
        </w:rPr>
        <w:t xml:space="preserve">Circadin® : </w:t>
      </w:r>
      <w:r w:rsidR="005C316E">
        <w:rPr>
          <w:rFonts w:cs="Helvetica"/>
          <w:sz w:val="53"/>
          <w:szCs w:val="53"/>
        </w:rPr>
        <w:t>Nouvelles modalités de prescription et de remboursement</w:t>
      </w:r>
    </w:p>
    <w:p w:rsidR="00D95E21" w:rsidRPr="009B18BD" w:rsidRDefault="00D95E21" w:rsidP="009B18BD">
      <w:p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Circadin</w:t>
      </w:r>
      <w:r w:rsidRPr="009B18BD">
        <w:rPr>
          <w:rFonts w:ascii="Lora" w:eastAsia="Times New Roman" w:hAnsi="Lora" w:cs="Times New Roman"/>
          <w:color w:val="000000"/>
          <w:vertAlign w:val="superscript"/>
          <w:lang w:eastAsia="fr-FR"/>
        </w:rPr>
        <w:t>®</w:t>
      </w:r>
      <w:r w:rsidR="006D0D6B">
        <w:rPr>
          <w:rFonts w:ascii="Lora" w:eastAsia="Times New Roman" w:hAnsi="Lora" w:cs="Helvetica"/>
          <w:color w:val="000000"/>
          <w:lang w:eastAsia="fr-FR"/>
        </w:rPr>
        <w:t xml:space="preserve">, 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une formulation </w:t>
      </w:r>
      <w:r w:rsidRPr="009B18BD">
        <w:rPr>
          <w:rFonts w:ascii="Lora" w:eastAsia="Times New Roman" w:hAnsi="Lora" w:cs="Helvetica"/>
          <w:color w:val="000000"/>
          <w:lang w:eastAsia="fr-FR"/>
        </w:rPr>
        <w:t>à libération prolongée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 contenant 2mg de mélatonine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, fait désormais l’objet d’une Recommandation Temporaire d’Utilisation (RTU) pour les </w:t>
      </w:r>
      <w:r w:rsidR="006D0D6B">
        <w:rPr>
          <w:rFonts w:ascii="Lora" w:eastAsia="Times New Roman" w:hAnsi="Lora" w:cs="Helvetica"/>
          <w:color w:val="000000"/>
          <w:lang w:eastAsia="fr-FR"/>
        </w:rPr>
        <w:t>enfa</w:t>
      </w:r>
      <w:r w:rsidR="006D0D6B" w:rsidRPr="009B18BD">
        <w:rPr>
          <w:rFonts w:ascii="Lora" w:eastAsia="Times New Roman" w:hAnsi="Lora" w:cs="Helvetica"/>
          <w:color w:val="000000"/>
          <w:lang w:eastAsia="fr-FR"/>
        </w:rPr>
        <w:t xml:space="preserve">nts </w:t>
      </w:r>
      <w:r w:rsidRPr="009B18BD">
        <w:rPr>
          <w:rFonts w:ascii="Lora" w:eastAsia="Times New Roman" w:hAnsi="Lora" w:cs="Helvetica"/>
          <w:color w:val="000000"/>
          <w:lang w:eastAsia="fr-FR"/>
        </w:rPr>
        <w:t>âgés de 6 à 18 ans.</w:t>
      </w:r>
    </w:p>
    <w:p w:rsidR="002E3521" w:rsidRPr="009B18BD" w:rsidRDefault="003A2A3C" w:rsidP="009B18BD">
      <w:p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>
        <w:rPr>
          <w:rFonts w:ascii="Lora" w:eastAsia="Times New Roman" w:hAnsi="Lora" w:cs="Helvetica"/>
          <w:color w:val="000000"/>
          <w:lang w:eastAsia="fr-FR"/>
        </w:rPr>
        <w:t>Une RTU est un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 dispositif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 xml:space="preserve">, mis en place par l’Agence Nationale de Sécurité du Médicament et des Produits de Santé (ANSM) </w:t>
      </w:r>
      <w:r>
        <w:rPr>
          <w:rFonts w:ascii="Lora" w:eastAsia="Times New Roman" w:hAnsi="Lora" w:cs="Helvetica"/>
          <w:color w:val="000000"/>
          <w:lang w:eastAsia="fr-FR"/>
        </w:rPr>
        <w:t>qui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 xml:space="preserve"> permet d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’encadrer 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 xml:space="preserve">la prescription d’un médicament 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disposant d’une Autorisation de Mise sur le Marché (AMM) en France, 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>dans une indication ou des conditions d’utilisation non conformes à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 son AMM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 xml:space="preserve">. </w:t>
      </w:r>
    </w:p>
    <w:p w:rsidR="000B4336" w:rsidRPr="009B18BD" w:rsidRDefault="00D95E21" w:rsidP="009B18BD">
      <w:p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En effet,</w:t>
      </w:r>
      <w:r w:rsidR="009B18BD">
        <w:rPr>
          <w:rFonts w:ascii="Lora" w:eastAsia="Times New Roman" w:hAnsi="Lora" w:cs="Helvetica"/>
          <w:color w:val="000000"/>
          <w:lang w:eastAsia="fr-FR"/>
        </w:rPr>
        <w:t xml:space="preserve"> l’indication de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Circadin</w:t>
      </w:r>
      <w:r w:rsidRPr="009B18BD">
        <w:rPr>
          <w:rFonts w:ascii="Lora" w:eastAsia="Times New Roman" w:hAnsi="Lora" w:cs="Times New Roman"/>
          <w:color w:val="000000"/>
          <w:vertAlign w:val="superscript"/>
          <w:lang w:eastAsia="fr-FR"/>
        </w:rPr>
        <w:t>®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</w:t>
      </w:r>
      <w:r w:rsidR="009B18BD">
        <w:rPr>
          <w:rFonts w:ascii="Lora" w:eastAsia="Times New Roman" w:hAnsi="Lora" w:cs="Helvetica"/>
          <w:color w:val="000000"/>
          <w:lang w:eastAsia="fr-FR"/>
        </w:rPr>
        <w:t xml:space="preserve">dans le cadre de son 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AMM </w:t>
      </w:r>
      <w:r w:rsidR="009B18BD">
        <w:rPr>
          <w:rFonts w:ascii="Lora" w:eastAsia="Times New Roman" w:hAnsi="Lora" w:cs="Helvetica"/>
          <w:color w:val="000000"/>
          <w:lang w:eastAsia="fr-FR"/>
        </w:rPr>
        <w:t>e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>s</w:t>
      </w:r>
      <w:r w:rsidR="009B18BD">
        <w:rPr>
          <w:rFonts w:ascii="Lora" w:eastAsia="Times New Roman" w:hAnsi="Lora" w:cs="Helvetica"/>
          <w:color w:val="000000"/>
          <w:lang w:eastAsia="fr-FR"/>
        </w:rPr>
        <w:t>t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 le traitement à court terme de l’insomnie primaire chez les patients de 55 ans ou plus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. Grâce à la RTU, 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>il existe désormais un suivi de la prescription de Circadin</w:t>
      </w:r>
      <w:r w:rsidR="002E3521" w:rsidRPr="009B18BD">
        <w:rPr>
          <w:rFonts w:ascii="Lora" w:eastAsia="Times New Roman" w:hAnsi="Lora" w:cs="Times New Roman"/>
          <w:color w:val="000000"/>
          <w:vertAlign w:val="superscript"/>
          <w:lang w:eastAsia="fr-FR"/>
        </w:rPr>
        <w:t>®</w:t>
      </w:r>
      <w:r w:rsidR="002E3521" w:rsidRPr="009B18BD">
        <w:rPr>
          <w:rFonts w:ascii="Lora" w:eastAsia="Times New Roman" w:hAnsi="Lora" w:cs="Helvetica"/>
          <w:color w:val="000000"/>
          <w:lang w:eastAsia="fr-FR"/>
        </w:rPr>
        <w:t xml:space="preserve"> chez les enfants âgés de 6 à 18 ans, traités pour un trouble du rythme veille-sommeil lié à</w:t>
      </w:r>
      <w:r w:rsidR="000B4336" w:rsidRPr="009B18BD">
        <w:rPr>
          <w:rFonts w:ascii="Lora" w:eastAsia="Times New Roman" w:hAnsi="Lora" w:cs="Helvetica"/>
          <w:color w:val="000000"/>
          <w:lang w:eastAsia="fr-FR"/>
        </w:rPr>
        <w:t> :</w:t>
      </w:r>
    </w:p>
    <w:p w:rsidR="000B4336" w:rsidRPr="009B18BD" w:rsidRDefault="002E3521" w:rsidP="009B18BD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 xml:space="preserve">un syndrome de </w:t>
      </w:r>
      <w:proofErr w:type="spellStart"/>
      <w:r w:rsidRPr="009B18BD">
        <w:rPr>
          <w:rFonts w:ascii="Lora" w:eastAsia="Times New Roman" w:hAnsi="Lora" w:cs="Helvetica"/>
          <w:color w:val="000000"/>
          <w:lang w:eastAsia="fr-FR"/>
        </w:rPr>
        <w:t>Rett</w:t>
      </w:r>
      <w:proofErr w:type="spellEnd"/>
      <w:r w:rsidRPr="009B18BD">
        <w:rPr>
          <w:rFonts w:ascii="Lora" w:eastAsia="Times New Roman" w:hAnsi="Lora" w:cs="Helvetica"/>
          <w:color w:val="000000"/>
          <w:lang w:eastAsia="fr-FR"/>
        </w:rPr>
        <w:t xml:space="preserve">, </w:t>
      </w:r>
    </w:p>
    <w:p w:rsidR="000B4336" w:rsidRPr="009B18BD" w:rsidRDefault="002E3521" w:rsidP="009B18BD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un syndrome de Smith-</w:t>
      </w:r>
      <w:proofErr w:type="spellStart"/>
      <w:r w:rsidRPr="009B18BD">
        <w:rPr>
          <w:rFonts w:ascii="Lora" w:eastAsia="Times New Roman" w:hAnsi="Lora" w:cs="Helvetica"/>
          <w:color w:val="000000"/>
          <w:lang w:eastAsia="fr-FR"/>
        </w:rPr>
        <w:t>Magenis</w:t>
      </w:r>
      <w:proofErr w:type="spellEnd"/>
      <w:r w:rsidRPr="009B18BD">
        <w:rPr>
          <w:rFonts w:ascii="Lora" w:eastAsia="Times New Roman" w:hAnsi="Lora" w:cs="Helvetica"/>
          <w:color w:val="000000"/>
          <w:lang w:eastAsia="fr-FR"/>
        </w:rPr>
        <w:t xml:space="preserve">, </w:t>
      </w:r>
    </w:p>
    <w:p w:rsidR="000B4336" w:rsidRPr="009B18BD" w:rsidRDefault="002E3521" w:rsidP="009B18BD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un syndrome d’</w:t>
      </w:r>
      <w:proofErr w:type="spellStart"/>
      <w:r w:rsidRPr="009B18BD">
        <w:rPr>
          <w:rFonts w:ascii="Lora" w:eastAsia="Times New Roman" w:hAnsi="Lora" w:cs="Helvetica"/>
          <w:color w:val="000000"/>
          <w:lang w:eastAsia="fr-FR"/>
        </w:rPr>
        <w:t>Angelman</w:t>
      </w:r>
      <w:proofErr w:type="spellEnd"/>
      <w:r w:rsidRPr="009B18BD">
        <w:rPr>
          <w:rFonts w:ascii="Lora" w:eastAsia="Times New Roman" w:hAnsi="Lora" w:cs="Helvetica"/>
          <w:color w:val="000000"/>
          <w:lang w:eastAsia="fr-FR"/>
        </w:rPr>
        <w:t xml:space="preserve">, </w:t>
      </w:r>
    </w:p>
    <w:p w:rsidR="000B4336" w:rsidRPr="009B18BD" w:rsidRDefault="002E3521" w:rsidP="009B18BD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une sclérose tubéreuse</w:t>
      </w:r>
      <w:r w:rsidR="000B4336" w:rsidRPr="009B18BD">
        <w:rPr>
          <w:rFonts w:ascii="Lora" w:eastAsia="Times New Roman" w:hAnsi="Lora" w:cs="Helvetica"/>
          <w:color w:val="000000"/>
          <w:lang w:eastAsia="fr-FR"/>
        </w:rPr>
        <w:t>,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</w:t>
      </w:r>
    </w:p>
    <w:p w:rsidR="00D95E21" w:rsidRPr="009B18BD" w:rsidRDefault="002E3521" w:rsidP="009B18BD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des troubles du spectre autistique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>.</w:t>
      </w:r>
    </w:p>
    <w:p w:rsidR="000B4336" w:rsidRPr="009B18BD" w:rsidRDefault="00A8500C" w:rsidP="009B18BD">
      <w:pPr>
        <w:shd w:val="clear" w:color="auto" w:fill="FFFFFF"/>
        <w:spacing w:after="150"/>
        <w:jc w:val="both"/>
        <w:rPr>
          <w:rFonts w:ascii="Lora" w:eastAsia="Times New Roman" w:hAnsi="Lora" w:cs="Helvetica"/>
          <w:color w:val="000000"/>
          <w:lang w:eastAsia="fr-FR"/>
        </w:rPr>
      </w:pPr>
      <w:r>
        <w:rPr>
          <w:rFonts w:ascii="Lora" w:eastAsia="Times New Roman" w:hAnsi="Lora" w:cs="Helvetica"/>
          <w:color w:val="000000"/>
          <w:lang w:eastAsia="fr-FR"/>
        </w:rPr>
        <w:t>C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 xml:space="preserve">es </w:t>
      </w:r>
      <w:r>
        <w:rPr>
          <w:rFonts w:ascii="Lora" w:eastAsia="Times New Roman" w:hAnsi="Lora" w:cs="Helvetica"/>
          <w:color w:val="000000"/>
          <w:lang w:eastAsia="fr-FR"/>
        </w:rPr>
        <w:t>enfants,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</w:t>
      </w:r>
      <w:r w:rsidR="000B4336" w:rsidRPr="009B18BD">
        <w:rPr>
          <w:rFonts w:ascii="Lora" w:eastAsia="Times New Roman" w:hAnsi="Lora" w:cs="Helvetica"/>
          <w:color w:val="000000"/>
          <w:lang w:eastAsia="fr-FR"/>
        </w:rPr>
        <w:t>d</w:t>
      </w:r>
      <w:r w:rsidRPr="009B18BD">
        <w:rPr>
          <w:rFonts w:ascii="Lora" w:eastAsia="Times New Roman" w:hAnsi="Lora" w:cs="Helvetica"/>
          <w:color w:val="000000"/>
          <w:lang w:eastAsia="fr-FR"/>
        </w:rPr>
        <w:t>éjà traités ou débutant un traitement par Circadin</w:t>
      </w:r>
      <w:r w:rsidRPr="009B18BD">
        <w:rPr>
          <w:rFonts w:ascii="Lora" w:eastAsia="Times New Roman" w:hAnsi="Lora" w:cs="Helvetica"/>
          <w:color w:val="000000"/>
          <w:vertAlign w:val="superscript"/>
          <w:lang w:eastAsia="fr-FR"/>
        </w:rPr>
        <w:t>®</w:t>
      </w:r>
      <w:r w:rsidR="000B4336" w:rsidRPr="009B18BD">
        <w:rPr>
          <w:rFonts w:ascii="Lora" w:eastAsia="Times New Roman" w:hAnsi="Lora" w:cs="Helvetica"/>
          <w:color w:val="000000"/>
          <w:lang w:eastAsia="fr-FR"/>
        </w:rPr>
        <w:t xml:space="preserve">, </w:t>
      </w:r>
      <w:r w:rsidR="006D0D6B">
        <w:rPr>
          <w:rFonts w:ascii="Lora" w:eastAsia="Times New Roman" w:hAnsi="Lora" w:cs="Helvetica"/>
          <w:color w:val="000000"/>
          <w:lang w:eastAsia="fr-FR"/>
        </w:rPr>
        <w:t>peuvent être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 xml:space="preserve"> inscrits par leur médecin dans </w:t>
      </w:r>
      <w:r w:rsidR="00352908" w:rsidRPr="009B18BD">
        <w:rPr>
          <w:rFonts w:ascii="Lora" w:eastAsia="Times New Roman" w:hAnsi="Lora" w:cs="Helvetica"/>
          <w:color w:val="000000"/>
          <w:lang w:eastAsia="fr-FR"/>
        </w:rPr>
        <w:t>la RTU</w:t>
      </w:r>
      <w:r w:rsidR="00B87FFC" w:rsidRPr="009B18BD">
        <w:rPr>
          <w:rFonts w:ascii="Lora" w:eastAsia="Times New Roman" w:hAnsi="Lora" w:cs="Helvetica"/>
          <w:color w:val="000000"/>
          <w:lang w:eastAsia="fr-FR"/>
        </w:rPr>
        <w:t xml:space="preserve"> CIRCADIN</w:t>
      </w:r>
      <w:r w:rsidR="00352908" w:rsidRPr="009B18BD">
        <w:rPr>
          <w:rFonts w:ascii="Lora" w:eastAsia="Times New Roman" w:hAnsi="Lora" w:cs="Helvetica"/>
          <w:color w:val="000000"/>
          <w:lang w:eastAsia="fr-FR"/>
        </w:rPr>
        <w:t xml:space="preserve">. </w:t>
      </w:r>
    </w:p>
    <w:p w:rsidR="00352908" w:rsidRPr="009B18BD" w:rsidRDefault="00352908" w:rsidP="009B18BD">
      <w:p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 xml:space="preserve">Dans le cadre du suivi habituel du patient, le médecin </w:t>
      </w:r>
      <w:r w:rsidR="003A2A3C">
        <w:rPr>
          <w:rFonts w:ascii="Lora" w:eastAsia="Times New Roman" w:hAnsi="Lora" w:cs="Helvetica"/>
          <w:color w:val="000000"/>
          <w:lang w:eastAsia="fr-FR"/>
        </w:rPr>
        <w:t>collecte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des données </w:t>
      </w:r>
      <w:r w:rsidR="006D0D6B">
        <w:rPr>
          <w:rFonts w:ascii="Lora" w:eastAsia="Times New Roman" w:hAnsi="Lora" w:cs="Helvetica"/>
          <w:color w:val="000000"/>
          <w:lang w:eastAsia="fr-FR"/>
        </w:rPr>
        <w:t xml:space="preserve">anonymes 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relatives au sommeil </w:t>
      </w:r>
      <w:r w:rsidR="003A2A3C">
        <w:rPr>
          <w:rFonts w:ascii="Lora" w:eastAsia="Times New Roman" w:hAnsi="Lora" w:cs="Helvetica"/>
          <w:color w:val="000000"/>
          <w:lang w:eastAsia="fr-FR"/>
        </w:rPr>
        <w:t>de l’enfant</w:t>
      </w:r>
      <w:r w:rsidR="00384FBC" w:rsidRPr="009B18BD">
        <w:rPr>
          <w:rFonts w:ascii="Lora" w:eastAsia="Times New Roman" w:hAnsi="Lora" w:cs="Helvetica"/>
          <w:color w:val="000000"/>
          <w:lang w:eastAsia="fr-FR"/>
        </w:rPr>
        <w:t>,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l’utilisation de Circadin</w:t>
      </w:r>
      <w:r w:rsidRPr="00FE4442">
        <w:rPr>
          <w:rFonts w:ascii="Lora" w:eastAsia="Times New Roman" w:hAnsi="Lora" w:cs="Times New Roman"/>
          <w:color w:val="000000"/>
          <w:vertAlign w:val="superscript"/>
          <w:lang w:eastAsia="fr-FR"/>
        </w:rPr>
        <w:t>®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et les éventuels effets indésirables (au moins une fiche de suivi par semestre).</w:t>
      </w:r>
      <w:r w:rsidR="00D95E21" w:rsidRPr="009B18BD">
        <w:rPr>
          <w:rFonts w:ascii="Lora" w:eastAsia="Times New Roman" w:hAnsi="Lora" w:cs="Helvetica"/>
          <w:color w:val="000000"/>
          <w:lang w:eastAsia="fr-FR"/>
        </w:rPr>
        <w:t xml:space="preserve"> </w:t>
      </w:r>
    </w:p>
    <w:p w:rsidR="00D95E21" w:rsidRPr="009B18BD" w:rsidRDefault="00D95E21" w:rsidP="009B18BD">
      <w:p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 xml:space="preserve">Le médecin </w:t>
      </w:r>
      <w:r w:rsidR="00384FBC" w:rsidRPr="009B18BD">
        <w:rPr>
          <w:rFonts w:ascii="Lora" w:eastAsia="Times New Roman" w:hAnsi="Lora" w:cs="Helvetica"/>
          <w:color w:val="000000"/>
          <w:lang w:eastAsia="fr-FR"/>
        </w:rPr>
        <w:t>indique sur l’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ordonnance la mention « Prescription sous RTU », </w:t>
      </w:r>
      <w:r w:rsidR="009B18BD">
        <w:rPr>
          <w:rFonts w:ascii="Lora" w:eastAsia="Times New Roman" w:hAnsi="Lora" w:cs="Helvetica"/>
          <w:color w:val="000000"/>
          <w:lang w:eastAsia="fr-FR"/>
        </w:rPr>
        <w:t>afin de permettre une</w:t>
      </w:r>
      <w:r w:rsidR="00384FBC" w:rsidRPr="009B18BD">
        <w:rPr>
          <w:rFonts w:ascii="Lora" w:eastAsia="Times New Roman" w:hAnsi="Lora" w:cs="Helvetica"/>
          <w:color w:val="000000"/>
          <w:lang w:eastAsia="fr-FR"/>
        </w:rPr>
        <w:t xml:space="preserve"> </w:t>
      </w:r>
      <w:r w:rsidRPr="009B18BD">
        <w:rPr>
          <w:rFonts w:ascii="Lora" w:eastAsia="Times New Roman" w:hAnsi="Lora" w:cs="Helvetica"/>
          <w:color w:val="000000"/>
          <w:lang w:eastAsia="fr-FR"/>
        </w:rPr>
        <w:t>prise en charge du médicament par les Caisses d’Assurance Maladie</w:t>
      </w:r>
      <w:r w:rsidR="000B4336" w:rsidRPr="009B18BD">
        <w:rPr>
          <w:rFonts w:ascii="Lora" w:eastAsia="Times New Roman" w:hAnsi="Lora" w:cs="Helvetica"/>
          <w:color w:val="000000"/>
          <w:lang w:eastAsia="fr-FR"/>
        </w:rPr>
        <w:t>.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</w:t>
      </w:r>
    </w:p>
    <w:p w:rsidR="00D95E21" w:rsidRPr="009B18BD" w:rsidRDefault="003A2A3C" w:rsidP="009B18BD">
      <w:p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>
        <w:rPr>
          <w:rFonts w:ascii="Lora" w:eastAsia="Times New Roman" w:hAnsi="Lora" w:cs="Helvetica"/>
          <w:color w:val="000000"/>
          <w:lang w:eastAsia="fr-FR"/>
        </w:rPr>
        <w:t>La RTU CIRCADIN a débuté le 1</w:t>
      </w:r>
      <w:r w:rsidRPr="009B18BD">
        <w:rPr>
          <w:rFonts w:ascii="Lora" w:eastAsia="Times New Roman" w:hAnsi="Lora" w:cs="Helvetica"/>
          <w:color w:val="000000"/>
          <w:vertAlign w:val="superscript"/>
          <w:lang w:eastAsia="fr-FR"/>
        </w:rPr>
        <w:t>er</w:t>
      </w:r>
      <w:r>
        <w:rPr>
          <w:rFonts w:ascii="Lora" w:eastAsia="Times New Roman" w:hAnsi="Lora" w:cs="Helvetica"/>
          <w:color w:val="000000"/>
          <w:lang w:eastAsia="fr-FR"/>
        </w:rPr>
        <w:t xml:space="preserve"> octobre 2015 pour une durée de 3 ans, renouvelable.</w:t>
      </w:r>
    </w:p>
    <w:p w:rsidR="00D95E21" w:rsidRPr="009B18BD" w:rsidRDefault="00D95E21" w:rsidP="009B18BD">
      <w:pPr>
        <w:shd w:val="clear" w:color="auto" w:fill="FFFFFF"/>
        <w:spacing w:after="15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 xml:space="preserve">Les familles intéressées peuvent contacter leur médecin pour demander </w:t>
      </w:r>
      <w:r w:rsidR="003A2A3C">
        <w:rPr>
          <w:rFonts w:ascii="Lora" w:eastAsia="Times New Roman" w:hAnsi="Lora" w:cs="Helvetica"/>
          <w:color w:val="000000"/>
          <w:lang w:eastAsia="fr-FR"/>
        </w:rPr>
        <w:t>l’inscription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de leur enfant </w:t>
      </w:r>
      <w:r w:rsidR="005C316E" w:rsidRPr="009B18BD">
        <w:rPr>
          <w:rFonts w:ascii="Lora" w:eastAsia="Times New Roman" w:hAnsi="Lora" w:cs="Helvetica"/>
          <w:color w:val="000000"/>
          <w:lang w:eastAsia="fr-FR"/>
        </w:rPr>
        <w:t>dans la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RTU</w:t>
      </w:r>
      <w:r w:rsidR="005C316E" w:rsidRPr="009B18BD">
        <w:rPr>
          <w:rFonts w:ascii="Lora" w:eastAsia="Times New Roman" w:hAnsi="Lora" w:cs="Helvetica"/>
          <w:color w:val="000000"/>
          <w:lang w:eastAsia="fr-FR"/>
        </w:rPr>
        <w:t xml:space="preserve"> CIRCADIN</w:t>
      </w:r>
      <w:r w:rsidRPr="009B18BD">
        <w:rPr>
          <w:rFonts w:ascii="Lora" w:eastAsia="Times New Roman" w:hAnsi="Lora" w:cs="Helvetica"/>
          <w:color w:val="000000"/>
          <w:lang w:eastAsia="fr-FR"/>
        </w:rPr>
        <w:t>.</w:t>
      </w:r>
    </w:p>
    <w:p w:rsidR="00B87FFC" w:rsidRPr="009B18BD" w:rsidRDefault="00B87F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Pour tout renseignement concernant cette RTU CIRCADIN veuillez contacte</w:t>
      </w:r>
      <w:r w:rsidR="00A8500C">
        <w:rPr>
          <w:rFonts w:ascii="Lora" w:eastAsia="Times New Roman" w:hAnsi="Lora" w:cs="Helvetica"/>
          <w:color w:val="000000"/>
          <w:lang w:eastAsia="fr-FR"/>
        </w:rPr>
        <w:t>r BIOCODEX au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: 03.44.86.82.28 ou </w:t>
      </w:r>
      <w:hyperlink r:id="rId5" w:history="1">
        <w:r w:rsidRPr="009B18BD">
          <w:rPr>
            <w:rStyle w:val="Lienhypertexte"/>
            <w:rFonts w:ascii="Lora" w:eastAsia="Times New Roman" w:hAnsi="Lora" w:cs="Helvetica"/>
            <w:lang w:eastAsia="fr-FR"/>
          </w:rPr>
          <w:t>contact@rtucircadin.fr</w:t>
        </w:r>
      </w:hyperlink>
    </w:p>
    <w:p w:rsidR="00B87FFC" w:rsidRPr="009B18BD" w:rsidRDefault="00FE4442" w:rsidP="009B18BD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hyperlink r:id="rId6" w:history="1">
        <w:r w:rsidR="00B87FFC" w:rsidRPr="009B18BD">
          <w:rPr>
            <w:rStyle w:val="Lienhypertexte"/>
            <w:rFonts w:ascii="Lora" w:eastAsia="Times New Roman" w:hAnsi="Lora" w:cs="Helvetica"/>
            <w:lang w:eastAsia="fr-FR"/>
          </w:rPr>
          <w:t>www.rtucircadin.fr</w:t>
        </w:r>
      </w:hyperlink>
    </w:p>
    <w:p w:rsidR="00D95E21" w:rsidRPr="009B18BD" w:rsidRDefault="00D95E21" w:rsidP="009B18BD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 </w:t>
      </w:r>
    </w:p>
    <w:p w:rsidR="00FE4442" w:rsidRDefault="00FE4442" w:rsidP="009B18BD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b/>
          <w:bCs/>
          <w:color w:val="0000CD"/>
          <w:lang w:eastAsia="fr-FR"/>
        </w:rPr>
      </w:pPr>
    </w:p>
    <w:p w:rsidR="00D95E21" w:rsidRPr="009B18BD" w:rsidRDefault="00D95E21" w:rsidP="009B18BD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b/>
          <w:bCs/>
          <w:color w:val="0000CD"/>
          <w:lang w:eastAsia="fr-FR"/>
        </w:rPr>
        <w:t>JUIN 2016</w:t>
      </w:r>
    </w:p>
    <w:p w:rsidR="00FE4442" w:rsidRDefault="00FE4442" w:rsidP="00FE4442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</w:p>
    <w:p w:rsidR="00D95E21" w:rsidRDefault="00D95E21" w:rsidP="00FE4442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 xml:space="preserve">Dans le cadre la </w:t>
      </w:r>
      <w:r w:rsidR="00961478" w:rsidRPr="009B18BD">
        <w:rPr>
          <w:rFonts w:ascii="Lora" w:eastAsia="Times New Roman" w:hAnsi="Lora" w:cs="Helvetica"/>
          <w:color w:val="000000"/>
          <w:lang w:eastAsia="fr-FR"/>
        </w:rPr>
        <w:t xml:space="preserve">RTU CIRCADIN, </w:t>
      </w:r>
      <w:r w:rsidRPr="009B18BD">
        <w:rPr>
          <w:rFonts w:ascii="Lora" w:eastAsia="Times New Roman" w:hAnsi="Lora" w:cs="Helvetica"/>
          <w:color w:val="000000"/>
          <w:lang w:eastAsia="fr-FR"/>
        </w:rPr>
        <w:t>les prescriptions de Circadin</w:t>
      </w:r>
      <w:r w:rsidRPr="00FE4442">
        <w:rPr>
          <w:rFonts w:ascii="Lora" w:eastAsia="Times New Roman" w:hAnsi="Lora" w:cs="Helvetica"/>
          <w:color w:val="000000"/>
          <w:vertAlign w:val="superscript"/>
          <w:lang w:eastAsia="fr-FR"/>
        </w:rPr>
        <w:t xml:space="preserve">® </w:t>
      </w:r>
      <w:r w:rsidR="00961478" w:rsidRPr="009B18BD">
        <w:rPr>
          <w:rFonts w:ascii="Lora" w:eastAsia="Times New Roman" w:hAnsi="Lora" w:cs="Helvetica"/>
          <w:color w:val="000000"/>
          <w:lang w:eastAsia="fr-FR"/>
        </w:rPr>
        <w:t xml:space="preserve">sont 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remboursées forfaitairement par l’Assurance Maladie avec un montant maximal annuel de 800 euros par </w:t>
      </w:r>
      <w:r w:rsidR="00FE4442" w:rsidRPr="009B18BD">
        <w:rPr>
          <w:rFonts w:ascii="Lora" w:eastAsia="Times New Roman" w:hAnsi="Lora" w:cs="Helvetica"/>
          <w:color w:val="000000"/>
          <w:lang w:eastAsia="fr-FR"/>
        </w:rPr>
        <w:t>patient,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en application de l’article L.162-17-2-1 du code de la sécurité sociale et de l’arrêté du 13 juin 2016 paru au journal officiel n°0140 le 17 juin 2016</w:t>
      </w:r>
      <w:r w:rsidR="00FE4442">
        <w:rPr>
          <w:rFonts w:ascii="Lora" w:eastAsia="Times New Roman" w:hAnsi="Lora" w:cs="Helvetica"/>
          <w:color w:val="000000"/>
          <w:lang w:eastAsia="fr-FR"/>
        </w:rPr>
        <w:t>.</w:t>
      </w:r>
    </w:p>
    <w:p w:rsidR="00FE4442" w:rsidRPr="009B18BD" w:rsidRDefault="00FE4442" w:rsidP="00FE4442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color w:val="000000"/>
          <w:lang w:eastAsia="fr-FR"/>
        </w:rPr>
      </w:pPr>
      <w:bookmarkStart w:id="0" w:name="_GoBack"/>
      <w:bookmarkEnd w:id="0"/>
    </w:p>
    <w:p w:rsidR="00D95E21" w:rsidRPr="009B18BD" w:rsidRDefault="00D95E21" w:rsidP="009B18BD">
      <w:pPr>
        <w:shd w:val="clear" w:color="auto" w:fill="FFFFFF"/>
        <w:spacing w:after="0" w:line="240" w:lineRule="auto"/>
        <w:jc w:val="both"/>
        <w:rPr>
          <w:rFonts w:ascii="Lora" w:eastAsia="Times New Roman" w:hAnsi="Lora" w:cs="Helvetica"/>
          <w:color w:val="000000"/>
          <w:sz w:val="21"/>
          <w:szCs w:val="21"/>
          <w:lang w:eastAsia="fr-FR"/>
        </w:rPr>
      </w:pPr>
      <w:r w:rsidRPr="009B18BD">
        <w:rPr>
          <w:rFonts w:ascii="Lora" w:eastAsia="Times New Roman" w:hAnsi="Lora" w:cs="Helvetica"/>
          <w:color w:val="000000"/>
          <w:lang w:eastAsia="fr-FR"/>
        </w:rPr>
        <w:t>L’ordonnance d</w:t>
      </w:r>
      <w:r w:rsidR="003A2A3C">
        <w:rPr>
          <w:rFonts w:ascii="Lora" w:eastAsia="Times New Roman" w:hAnsi="Lora" w:cs="Helvetica"/>
          <w:color w:val="000000"/>
          <w:lang w:eastAsia="fr-FR"/>
        </w:rPr>
        <w:t>oit</w:t>
      </w:r>
      <w:r w:rsidRPr="009B18BD">
        <w:rPr>
          <w:rFonts w:ascii="Lora" w:eastAsia="Times New Roman" w:hAnsi="Lora" w:cs="Helvetica"/>
          <w:color w:val="000000"/>
          <w:lang w:eastAsia="fr-FR"/>
        </w:rPr>
        <w:t xml:space="preserve"> porter la mention « Prescription sous Recommandation Temporaire d’Utilisation». </w:t>
      </w:r>
    </w:p>
    <w:p w:rsidR="00A57736" w:rsidRPr="009B18BD" w:rsidRDefault="00A57736" w:rsidP="009B18BD">
      <w:pPr>
        <w:jc w:val="both"/>
      </w:pPr>
    </w:p>
    <w:sectPr w:rsidR="00A57736" w:rsidRPr="009B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or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636"/>
    <w:multiLevelType w:val="hybridMultilevel"/>
    <w:tmpl w:val="F09AC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06858"/>
    <w:multiLevelType w:val="hybridMultilevel"/>
    <w:tmpl w:val="A3904EC4"/>
    <w:lvl w:ilvl="0" w:tplc="4F7E1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50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C2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CB4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20D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0A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84D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0D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405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21"/>
    <w:rsid w:val="000B4336"/>
    <w:rsid w:val="00226242"/>
    <w:rsid w:val="00232C5F"/>
    <w:rsid w:val="002739D4"/>
    <w:rsid w:val="002E3521"/>
    <w:rsid w:val="00352908"/>
    <w:rsid w:val="00384FBC"/>
    <w:rsid w:val="003A2A3C"/>
    <w:rsid w:val="005C316E"/>
    <w:rsid w:val="006D0D6B"/>
    <w:rsid w:val="0073568D"/>
    <w:rsid w:val="009174D0"/>
    <w:rsid w:val="00961478"/>
    <w:rsid w:val="009B18BD"/>
    <w:rsid w:val="00A57736"/>
    <w:rsid w:val="00A8500C"/>
    <w:rsid w:val="00AC54AC"/>
    <w:rsid w:val="00B87FFC"/>
    <w:rsid w:val="00D72987"/>
    <w:rsid w:val="00D95E21"/>
    <w:rsid w:val="00F0112A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0931-8527-436A-9FA9-2BF80184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95E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5E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E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B43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7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31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5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53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39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ucircadin.fr" TargetMode="External"/><Relationship Id="rId5" Type="http://schemas.openxmlformats.org/officeDocument/2006/relationships/hyperlink" Target="mailto:contact@rtucircadi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HOUAMEL Doumia</dc:creator>
  <cp:keywords/>
  <dc:description/>
  <cp:lastModifiedBy>HOUAMEL Doumia</cp:lastModifiedBy>
  <cp:revision>13</cp:revision>
  <dcterms:created xsi:type="dcterms:W3CDTF">2016-11-15T09:14:00Z</dcterms:created>
  <dcterms:modified xsi:type="dcterms:W3CDTF">2016-11-25T10:27:00Z</dcterms:modified>
</cp:coreProperties>
</file>